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b/>
        </w:rPr>
      </w:pPr>
      <w:r>
        <w:rPr>
          <w:b/>
        </w:rPr>
        <w:t xml:space="preserve">Modelo de Ordenanza </w:t>
      </w:r>
    </w:p>
    <w:p>
      <w:pPr>
        <w:pStyle w:val="Normal"/>
        <w:spacing w:lineRule="auto" w:line="360"/>
        <w:jc w:val="both"/>
        <w:rPr/>
      </w:pPr>
      <w:r>
        <w:rPr/>
      </w:r>
    </w:p>
    <w:p>
      <w:pPr>
        <w:pStyle w:val="Normal"/>
        <w:spacing w:lineRule="auto" w:line="360"/>
        <w:jc w:val="both"/>
        <w:rPr>
          <w:b/>
        </w:rPr>
      </w:pPr>
      <w:r>
        <w:rPr>
          <w:b/>
        </w:rPr>
        <w:t xml:space="preserve">ORDENANZA Nro… </w:t>
      </w:r>
    </w:p>
    <w:p>
      <w:pPr>
        <w:pStyle w:val="Normal"/>
        <w:spacing w:lineRule="auto" w:line="360"/>
        <w:jc w:val="both"/>
        <w:rPr>
          <w:b/>
        </w:rPr>
      </w:pPr>
      <w:r>
        <w:rPr>
          <w:b/>
        </w:rPr>
      </w:r>
    </w:p>
    <w:p>
      <w:pPr>
        <w:pStyle w:val="Normal"/>
        <w:spacing w:lineRule="auto" w:line="360"/>
        <w:jc w:val="both"/>
        <w:rPr/>
      </w:pPr>
      <w:r>
        <w:rPr>
          <w:b/>
        </w:rPr>
        <w:t>VISTO:</w:t>
      </w:r>
      <w:r>
        <w:rPr/>
        <w:t xml:space="preserve"> </w:t>
      </w:r>
    </w:p>
    <w:p>
      <w:pPr>
        <w:pStyle w:val="Normal"/>
        <w:spacing w:lineRule="auto" w:line="360"/>
        <w:ind w:left="0" w:right="0" w:firstLine="708"/>
        <w:jc w:val="both"/>
        <w:rPr/>
      </w:pPr>
      <w:r>
        <w:rPr/>
        <w:t xml:space="preserve">La Ley Nacional Nro. 21.477/76, su modificatoria Nro. 24.320 y Provincial Nro. 12.115; las que conforme Artículo Nro. 1897 y sgtes. del Código Civil y Comercial establecen normas sobre declaración de prescripción adquisitiva a favor de los estados provinciales y/o municipales; el Decreto provincial Nro. 5050/77, por el que se reglamenta la aplicación de la normativa en esta provincia de Santa Fe; y </w:t>
      </w:r>
    </w:p>
    <w:p>
      <w:pPr>
        <w:pStyle w:val="Normal"/>
        <w:spacing w:lineRule="auto" w:line="360"/>
        <w:ind w:left="0" w:right="0" w:firstLine="708"/>
        <w:jc w:val="both"/>
        <w:rPr/>
      </w:pPr>
      <w:r>
        <w:rPr/>
      </w:r>
    </w:p>
    <w:p>
      <w:pPr>
        <w:pStyle w:val="Normal"/>
        <w:spacing w:lineRule="auto" w:line="360"/>
        <w:jc w:val="both"/>
        <w:rPr>
          <w:b/>
        </w:rPr>
      </w:pPr>
      <w:r>
        <w:rPr>
          <w:b/>
        </w:rPr>
        <w:t xml:space="preserve">CONSIDERANDO: </w:t>
      </w:r>
    </w:p>
    <w:p>
      <w:pPr>
        <w:pStyle w:val="Normal"/>
        <w:spacing w:lineRule="auto" w:line="360"/>
        <w:ind w:left="0" w:right="0" w:firstLine="708"/>
        <w:jc w:val="both"/>
        <w:rPr/>
      </w:pPr>
      <w:r>
        <w:rPr/>
        <w:t>Que, la Ley Nacional Nº 21477 -texto según Ley Nº 24230, norma la adquisición por parte de los estados provinciales y municipales, del dominio de inmuebles por el modo establecido en el art. 1897 -y sgtes- del Código Civil y Comercial, es decir, por “la posesión continua de veinte años, con ánimo de tener la cosa para sí, sin necesidad de título y buena fe por parte del poseedor” (art.1), la cual se acreditará mediante informes de los respectivos organismo que especifiquen el origen de la posesión y el destino o afectación que haya tenido el inmueble poseído (art.2);</w:t>
      </w:r>
    </w:p>
    <w:p>
      <w:pPr>
        <w:pStyle w:val="Normal"/>
        <w:spacing w:lineRule="auto" w:line="360"/>
        <w:ind w:left="0" w:right="0" w:firstLine="708"/>
        <w:jc w:val="both"/>
        <w:rPr/>
      </w:pPr>
      <w:r>
        <w:rPr/>
        <w:t xml:space="preserve">Que esta Comuna, detenta la posesión del inmueble mensurado mediante Plano …..........., a cargo del Agrimensor...................... y que posee la siguiente ubicación................. medidas perimetrales...................superficie ….................... y linderos....................... con el siguiente número de Partida Impuesto Inmobiliario ….............. </w:t>
      </w:r>
    </w:p>
    <w:p>
      <w:pPr>
        <w:pStyle w:val="Normal"/>
        <w:spacing w:lineRule="auto" w:line="360"/>
        <w:ind w:left="0" w:right="0" w:firstLine="708"/>
        <w:jc w:val="both"/>
        <w:rPr/>
      </w:pPr>
      <w:r>
        <w:rPr/>
        <w:t xml:space="preserve">Que se ejerce la posesión a través de actos posesorios tales como el permanente aseo y corte de pastos del predio, colocación de luminaria de alumbrado público, apertura de calle y estabilizado granular; lo que resulta de informes de las reparticiones con competencia, pruebas testimoniales aportadas al presente, las que se acompañan en acta labrada por escribano/a pública y/o juez comunal. </w:t>
      </w:r>
    </w:p>
    <w:p>
      <w:pPr>
        <w:pStyle w:val="Normal"/>
        <w:spacing w:lineRule="auto" w:line="360"/>
        <w:ind w:left="0" w:right="0" w:firstLine="708"/>
        <w:jc w:val="both"/>
        <w:rPr/>
      </w:pPr>
      <w:r>
        <w:rPr/>
        <w:t xml:space="preserve">Que, todo ello prueba que, a través de los años y en forma pacífica y continuada, esta Administración ha ejercido actos posesorios sobre el predio en cuestión; </w:t>
      </w:r>
    </w:p>
    <w:p>
      <w:pPr>
        <w:pStyle w:val="Normal"/>
        <w:spacing w:lineRule="auto" w:line="360"/>
        <w:ind w:left="0" w:right="0" w:firstLine="708"/>
        <w:jc w:val="both"/>
        <w:rPr/>
      </w:pPr>
      <w:r>
        <w:rPr/>
        <w:t xml:space="preserve">Que el inmueble que en cuestión, tiene por dominio inscripto un título de más de 20 años, que no se encuentra afectado por inscripción litigiosa y consta inscripto al Tomo ….., Folio …....y Nro. …....., del Departamento ….... </w:t>
      </w:r>
    </w:p>
    <w:p>
      <w:pPr>
        <w:pStyle w:val="Normal"/>
        <w:spacing w:lineRule="auto" w:line="360"/>
        <w:ind w:left="0" w:right="0" w:firstLine="708"/>
        <w:jc w:val="both"/>
        <w:rPr/>
      </w:pPr>
      <w:r>
        <w:rPr/>
        <w:t xml:space="preserve">Que conforme lo regula la normativa precitada debe dictarse el Acto Administrativo pertinente a efectos de inscribir la titularidad del Dominio del referido inmueble a nombre de la Municipalidad …............. </w:t>
      </w:r>
    </w:p>
    <w:p>
      <w:pPr>
        <w:pStyle w:val="Normal"/>
        <w:spacing w:lineRule="auto" w:line="360"/>
        <w:ind w:left="0" w:right="0" w:firstLine="708"/>
        <w:jc w:val="both"/>
        <w:rPr/>
      </w:pPr>
      <w:r>
        <w:rPr/>
        <w:t xml:space="preserve">Que, la Ley Nacional anteriormente citada y aplicable, faculta al Poder Ejecutivo Provincial o a la autoridad ejecutiva municipal o comunal a declarar en cada caso la prescripción adquisitiva operada, otorgando las respectivas escrituras declarativas que “servirán de título bastante para la inscripción en el Registro de la Propiedad Inmueble” (art.2, in fine); </w:t>
      </w:r>
    </w:p>
    <w:p>
      <w:pPr>
        <w:pStyle w:val="Normal"/>
        <w:spacing w:lineRule="auto" w:line="360"/>
        <w:ind w:left="0" w:right="0" w:firstLine="708"/>
        <w:jc w:val="both"/>
        <w:rPr/>
      </w:pPr>
      <w:r>
        <w:rPr/>
        <w:t xml:space="preserve">Que, en cuanto a los requisitos procedimentales para otorgar la escritura pública de usucapión y posterior inscripción en el Registro General, habrá que estarse a lo dispuesto en el Decreto Provincial Nº 5050/77 por el que se reglamenta la aplicación de la normativa nacional en la provincia de Santa Fe. Especialmente los artículos 4º (existencia de otra inscripción de dominio apoyada en un título de antigüedad menor que el plazo de prescripción adquisitiva y/o anotación preventiva de litis de quien tiene acción declarativa de prescripción adquisitiva a su favor) y 5º (relación circunstanciada de los hechos posesorios, informes de organismos técnicos, destino del inmueble, descripción y plano previamente inscripto en el Departamento Topográfico Provincial –hoy SCIT); </w:t>
      </w:r>
    </w:p>
    <w:p>
      <w:pPr>
        <w:pStyle w:val="Normal"/>
        <w:spacing w:lineRule="auto" w:line="360"/>
        <w:ind w:left="0" w:right="0" w:firstLine="708"/>
        <w:jc w:val="both"/>
        <w:rPr/>
      </w:pPr>
      <w:r>
        <w:rPr/>
        <w:t xml:space="preserve">Que, en consecuencia, y a tenor de las constancias recogidas en autos, corresponde que la Comisión Comunal dicte un acto administrativo que disponga otorgar la pertinente escritura pública de usucapión en relación al predio que esta Comuna posee. </w:t>
      </w:r>
    </w:p>
    <w:p>
      <w:pPr>
        <w:pStyle w:val="Normal"/>
        <w:spacing w:lineRule="auto" w:line="360"/>
        <w:ind w:left="0" w:right="0" w:firstLine="708"/>
        <w:jc w:val="both"/>
        <w:rPr/>
      </w:pPr>
      <w:r>
        <w:rPr/>
        <w:t xml:space="preserve">Que la decisión ha sido tomada en reunión de la Comisión Comunal, según consta en Acta Nro. …., resolviéndose favorablemente </w:t>
      </w:r>
    </w:p>
    <w:p>
      <w:pPr>
        <w:pStyle w:val="Normal"/>
        <w:spacing w:lineRule="auto" w:line="360"/>
        <w:ind w:left="0" w:right="0" w:firstLine="708"/>
        <w:jc w:val="both"/>
        <w:rPr>
          <w:b/>
        </w:rPr>
      </w:pPr>
      <w:r>
        <w:rPr>
          <w:b/>
        </w:rPr>
      </w:r>
    </w:p>
    <w:p>
      <w:pPr>
        <w:pStyle w:val="Normal"/>
        <w:spacing w:lineRule="auto" w:line="360"/>
        <w:ind w:left="0" w:right="0" w:firstLine="708"/>
        <w:jc w:val="both"/>
        <w:rPr/>
      </w:pPr>
      <w:r>
        <w:rPr/>
      </w:r>
    </w:p>
    <w:p>
      <w:pPr>
        <w:pStyle w:val="Normal"/>
        <w:spacing w:lineRule="auto" w:line="360"/>
        <w:ind w:left="0" w:right="0" w:firstLine="708"/>
        <w:jc w:val="both"/>
        <w:rPr>
          <w:b/>
        </w:rPr>
      </w:pPr>
      <w:r>
        <w:rPr>
          <w:b/>
        </w:rPr>
        <w:t xml:space="preserve">POR TODO ELLO: </w:t>
      </w:r>
    </w:p>
    <w:p>
      <w:pPr>
        <w:pStyle w:val="Normal"/>
        <w:spacing w:lineRule="auto" w:line="360"/>
        <w:ind w:left="0" w:right="0" w:firstLine="708"/>
        <w:jc w:val="center"/>
        <w:rPr>
          <w:b/>
        </w:rPr>
      </w:pPr>
      <w:r>
        <w:rPr>
          <w:b/>
        </w:rPr>
        <w:t>LA COMISION COMUNAL DE …........, EN USO DELAS FACULTADES QUE LE SON PROPIAS, SANCIONA Y PROMULGA LA SIGUIENTE:</w:t>
      </w:r>
    </w:p>
    <w:p>
      <w:pPr>
        <w:pStyle w:val="Normal"/>
        <w:spacing w:lineRule="auto" w:line="360"/>
        <w:ind w:left="0" w:right="0" w:firstLine="708"/>
        <w:jc w:val="center"/>
        <w:rPr>
          <w:b/>
        </w:rPr>
      </w:pPr>
      <w:r>
        <w:rPr>
          <w:b/>
        </w:rPr>
        <w:t>ORDENANZA:</w:t>
      </w:r>
    </w:p>
    <w:p>
      <w:pPr>
        <w:pStyle w:val="Normal"/>
        <w:spacing w:lineRule="auto" w:line="360"/>
        <w:jc w:val="both"/>
        <w:rPr/>
      </w:pPr>
      <w:r>
        <w:rPr>
          <w:b/>
        </w:rPr>
        <w:t>Art. 1°:</w:t>
      </w:r>
      <w:r>
        <w:rPr/>
        <w:t xml:space="preserve"> Declarase la usucapión administrativa e incorporación al dominio de la Comuna del/de </w:t>
      </w:r>
      <w:bookmarkStart w:id="0" w:name="_GoBack"/>
      <w:bookmarkEnd w:id="0"/>
      <w:r>
        <w:rPr/>
        <w:t xml:space="preserve">los inmueble/s identificados como Lote N° del plano de mensura inscripto en el Servicio de Catastro e Información Territorial al N°…… El mismo se describe de la siguiente manera…………………………. y se encuentra empadronado bajo partida inmobiliaria N°…….. </w:t>
      </w:r>
    </w:p>
    <w:p>
      <w:pPr>
        <w:pStyle w:val="Normal"/>
        <w:spacing w:lineRule="auto" w:line="360"/>
        <w:jc w:val="both"/>
        <w:rPr/>
      </w:pPr>
      <w:r>
        <w:rPr>
          <w:b/>
        </w:rPr>
        <w:t>Art. 2°:</w:t>
      </w:r>
      <w:r>
        <w:rPr/>
        <w:t xml:space="preserve"> Otórguese la Escritura Pública de Usucapión de Usucapión Administrativa (Ley Nro. 21.477/76, to. Nro. 24.320) correspondiente al presente acto administrativo, y procédase a su inscripción en el Registro General de la Propiedad. </w:t>
      </w:r>
    </w:p>
    <w:p>
      <w:pPr>
        <w:pStyle w:val="Normal"/>
        <w:spacing w:lineRule="auto" w:line="360"/>
        <w:jc w:val="both"/>
        <w:rPr/>
      </w:pPr>
      <w:r>
        <w:rPr>
          <w:b/>
        </w:rPr>
        <w:t>Art. 3°:</w:t>
      </w:r>
      <w:r>
        <w:rPr/>
        <w:t xml:space="preserve"> DE FORMA: Regístrese, comuníquese, publíquese y archívese.</w:t>
      </w:r>
    </w:p>
    <w:p>
      <w:pPr>
        <w:pStyle w:val="Normal"/>
        <w:spacing w:lineRule="auto" w:line="360"/>
        <w:jc w:val="both"/>
        <w:rPr/>
      </w:pPr>
      <w:r>
        <w:rPr/>
      </w:r>
    </w:p>
    <w:p>
      <w:pPr>
        <w:pStyle w:val="Normal"/>
        <w:spacing w:lineRule="auto" w:line="360"/>
        <w:jc w:val="both"/>
        <w:rPr/>
      </w:pPr>
      <w:r>
        <w:rPr/>
        <w:t xml:space="preserve">--------------------, .. de …............. de …... </w:t>
      </w:r>
    </w:p>
    <w:p>
      <w:pPr>
        <w:pStyle w:val="Normal"/>
        <w:spacing w:lineRule="auto" w:line="360"/>
        <w:jc w:val="both"/>
        <w:rPr/>
      </w:pPr>
      <w:r>
        <w:rPr/>
      </w:r>
    </w:p>
    <w:p>
      <w:pPr>
        <w:pStyle w:val="Normal"/>
        <w:spacing w:lineRule="auto" w:line="360"/>
        <w:jc w:val="both"/>
        <w:rPr/>
      </w:pPr>
      <w:r>
        <w:rPr/>
        <w:t>FDO.: …............................... FDO.: …............................</w:t>
      </w:r>
    </w:p>
    <w:sectPr>
      <w:type w:val="nextPage"/>
      <w:pgSz w:w="11906" w:h="16838"/>
      <w:pgMar w:left="1701" w:right="1701"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es-AR" w:eastAsia="en-US" w:bidi="ar-SA"/>
      </w:rPr>
    </w:rPrDefault>
    <w:pPrDefault>
      <w:pPr>
        <w:spacing w:lineRule="auto" w:line="256"/>
      </w:pPr>
    </w:pPrDefault>
  </w:docDefaults>
  <w:latentStyles w:count="371" w:defSemiHidden="0" w:defUIPriority="99" w:defQFormat="0" w:defUnhideWhenUsed="0" w:defLockedState="0">
    <w:lsdException w:qFormat="1" w:uiPriority="0" w:name="Normal"/>
    <w:lsdException w:qFormat="1" w:uiPriority="9" w:name="heading 1"/>
    <w:lsdException w:unhideWhenUsed="1" w:semiHidden="1" w:qFormat="1" w:uiPriority="9" w:name="heading 2"/>
    <w:lsdException w:unhideWhenUsed="1" w:semiHidden="1" w:qFormat="1" w:uiPriority="9" w:name="heading 3"/>
    <w:lsdException w:unhideWhenUsed="1" w:semiHidden="1" w:qFormat="1" w:uiPriority="9" w:name="heading 4"/>
    <w:lsdException w:unhideWhenUsed="1" w:semiHidden="1" w:qFormat="1" w:uiPriority="9" w:name="heading 5"/>
    <w:lsdException w:unhideWhenUsed="1" w:semiHidden="1" w:qFormat="1" w:uiPriority="9" w:name="heading 6"/>
    <w:lsdException w:unhideWhenUsed="1" w:semiHidden="1" w:qFormat="1" w:uiPriority="9" w:name="heading 7"/>
    <w:lsdException w:unhideWhenUsed="1" w:semiHidden="1" w:qFormat="1" w:uiPriority="9" w:name="heading 8"/>
    <w:lsdException w:unhideWhenUsed="1" w:semiHidden="1" w:qFormat="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unhideWhenUsed="1" w:semiHidden="1"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unhideWhenUsed="1" w:semiHidden="1" w:qFormat="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pPr>
      <w:widowControl/>
      <w:suppressAutoHyphens w:val="true"/>
      <w:bidi w:val="0"/>
      <w:spacing w:lineRule="auto" w:line="256" w:before="0" w:after="160"/>
      <w:jc w:val="left"/>
    </w:pPr>
    <w:rPr>
      <w:rFonts w:ascii="Calibri" w:hAnsi="Calibri" w:eastAsia="Droid Sans Fallback" w:cs="Calibri"/>
      <w:color w:val="auto"/>
      <w:sz w:val="22"/>
      <w:szCs w:val="22"/>
      <w:lang w:val="es-AR" w:eastAsia="en-US" w:bidi="ar-SA"/>
    </w:rPr>
  </w:style>
  <w:style w:type="character" w:styleId="DefaultParagraphFont" w:default="1">
    <w:name w:val="Default Paragraph Font"/>
    <w:uiPriority w:val="1"/>
    <w:semiHidden/>
    <w:unhideWhenUsed/>
    <w:rPr/>
  </w:style>
  <w:style w:type="paragraph" w:styleId="Encabezado">
    <w:name w:val="Encabezado"/>
    <w:basedOn w:val="Normal"/>
    <w:next w:val="Cuerpodetexto"/>
    <w:pPr>
      <w:keepNext/>
      <w:spacing w:before="240" w:after="120"/>
    </w:pPr>
    <w:rPr>
      <w:rFonts w:ascii="Liberation Sans" w:hAnsi="Liberation Sans" w:eastAsia="Droid Sans Fallback" w:cs="FreeSans"/>
      <w:sz w:val="28"/>
      <w:szCs w:val="28"/>
    </w:rPr>
  </w:style>
  <w:style w:type="paragraph" w:styleId="Cuerpodetexto">
    <w:name w:val="Cuerpo de texto"/>
    <w:basedOn w:val="Normal"/>
    <w:pPr>
      <w:spacing w:lineRule="auto" w:line="288" w:before="0" w:after="140"/>
    </w:pPr>
    <w:rPr/>
  </w:style>
  <w:style w:type="paragraph" w:styleId="Lista">
    <w:name w:val="Lista"/>
    <w:basedOn w:val="Cuerpodetexto"/>
    <w:pPr/>
    <w:rPr>
      <w:rFonts w:cs="FreeSans"/>
    </w:rPr>
  </w:style>
  <w:style w:type="paragraph" w:styleId="Pie">
    <w:name w:val="Pie"/>
    <w:basedOn w:val="Normal"/>
    <w:pPr>
      <w:suppressLineNumbers/>
      <w:spacing w:before="120" w:after="120"/>
    </w:pPr>
    <w:rPr>
      <w:rFonts w:cs="FreeSans"/>
      <w:i/>
      <w:iCs/>
      <w:sz w:val="24"/>
      <w:szCs w:val="24"/>
    </w:rPr>
  </w:style>
  <w:style w:type="paragraph" w:styleId="Ndice">
    <w:name w:val="Índice"/>
    <w:basedOn w:val="Normal"/>
    <w:pPr>
      <w:suppressLineNumbers/>
    </w:pPr>
    <w:rPr>
      <w:rFonts w:cs="FreeSan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2020-06-23T15:39:00Z</dcterms:created>
  <dc:creator>habitat</dc:creator>
  <dc:language>es-ES</dc:language>
  <cp:lastModifiedBy>habitat</cp:lastModifiedBy>
  <dcterms:modified xsi:type="dcterms:W3CDTF">2020-06-24T14:26:00Z</dcterms:modified>
  <cp:revision>6</cp:revision>
</cp:coreProperties>
</file>